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566" w:type="dxa"/>
        <w:tblLayout w:type="fixed"/>
        <w:tblLook w:val="0000" w:firstRow="0" w:lastRow="0" w:firstColumn="0" w:lastColumn="0" w:noHBand="0" w:noVBand="0"/>
      </w:tblPr>
      <w:tblGrid>
        <w:gridCol w:w="4960"/>
        <w:gridCol w:w="4825"/>
        <w:gridCol w:w="5521"/>
      </w:tblGrid>
      <w:tr>
        <w:tblPrEx/>
        <w:trPr>
          <w:trHeight w:val="142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52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ПРОЕКТ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61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Паспорт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4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«Архитектура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303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положения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09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Куратор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Сухов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олнители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топливно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энергетического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01.01.2024 - 31.12.2029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нуждающимися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устойчивого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Рациональное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раммы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землеустроительной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привлекаемых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её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6465999575,96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2913300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043,01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- 453305051,99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- 501594322,37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- 565597665,69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- 443041342,46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- 474880830,25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- 474880830,25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привлекаемых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1195617842,15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1020239084,98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1336842605,82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национ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Комфортная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первичном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рынке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Устойчивое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-610" w:type="dxa"/>
        <w:tblLayout w:type="fixed"/>
        <w:tblLook w:val="0000" w:firstRow="0" w:lastRow="0" w:firstColumn="0" w:lastColumn="0" w:noHBand="0" w:noVBand="0"/>
      </w:tblPr>
      <w:tblGrid>
        <w:gridCol w:w="430"/>
        <w:gridCol w:w="1955"/>
        <w:gridCol w:w="998"/>
        <w:gridCol w:w="826"/>
        <w:gridCol w:w="814"/>
        <w:gridCol w:w="805"/>
        <w:gridCol w:w="811"/>
        <w:gridCol w:w="825"/>
        <w:gridCol w:w="817"/>
        <w:gridCol w:w="841"/>
        <w:gridCol w:w="3392"/>
        <w:gridCol w:w="1419"/>
        <w:gridCol w:w="1417"/>
      </w:tblGrid>
      <w:tr>
        <w:tblPrEx/>
        <w:trPr>
          <w:trHeight w:val="287"/>
        </w:trPr>
        <w:tc>
          <w:tcPr>
            <w:gridSpan w:val="1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49"/>
        </w:trPr>
        <w:tc>
          <w:tcPr>
            <w:gridSpan w:val="1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</w:rPr>
              <w:t xml:space="preserve">п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измерения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ОКЕИ</w:t>
            </w:r>
            <w:r>
              <w:rPr>
                <w:rFonts w:ascii="Times New Roman" w:hAnsi="Times New Roman" w:cs="Times New Roman"/>
                <w:color w:val="000000"/>
              </w:rPr>
              <w:t xml:space="preserve">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Значения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Документ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достижение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Связь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показателями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наци</w:t>
            </w:r>
            <w:r>
              <w:rPr>
                <w:rFonts w:ascii="Times New Roman" w:hAnsi="Times New Roman" w:cs="Times New Roman"/>
                <w:color w:val="000000"/>
              </w:rPr>
              <w:t xml:space="preserve">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целей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Базовое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значение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(</w:t>
            </w:r>
            <w:r>
              <w:rPr>
                <w:rFonts w:ascii="Times New Roman" w:hAnsi="Times New Roman" w:cs="Times New Roman"/>
                <w:color w:val="000000"/>
              </w:rPr>
              <w:t xml:space="preserve">план</w:t>
            </w:r>
            <w:r>
              <w:rPr>
                <w:rFonts w:ascii="Times New Roman" w:hAnsi="Times New Roman" w:cs="Times New Roman"/>
                <w:color w:val="000000"/>
              </w:rPr>
              <w:t xml:space="preserve"> 2023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</w:rPr>
              <w:t xml:space="preserve">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поддержки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решении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проблемы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</w:t>
            </w:r>
            <w:r>
              <w:rPr>
                <w:rFonts w:ascii="Times New Roman" w:hAnsi="Times New Roman" w:cs="Times New Roman"/>
                <w:color w:val="000000"/>
              </w:rPr>
              <w:t xml:space="preserve">дым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семьям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признанным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установленном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порядке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нуждающимися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улучшении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условий»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999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99.99.9999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приобретенная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участниками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</w:t>
            </w:r>
            <w:r>
              <w:rPr>
                <w:rFonts w:ascii="Times New Roman" w:hAnsi="Times New Roman" w:cs="Times New Roman"/>
                <w:color w:val="000000"/>
              </w:rPr>
              <w:t xml:space="preserve">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Владивостоке»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Квадратный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Правительства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17.12.2010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1050 </w:t>
            </w:r>
            <w:r>
              <w:rPr>
                <w:rFonts w:ascii="Times New Roman" w:hAnsi="Times New Roman" w:cs="Times New Roman"/>
                <w:color w:val="000000"/>
              </w:rPr>
              <w:t xml:space="preserve">«О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</w:rPr>
              <w:t xml:space="preserve">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комфортным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учету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распределению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площадью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человека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2036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Повышение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доступности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первичном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рынке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получивших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свидетельство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получение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социальной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приобретение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</w:t>
            </w:r>
            <w:r>
              <w:rPr>
                <w:rFonts w:ascii="Times New Roman" w:hAnsi="Times New Roman" w:cs="Times New Roman"/>
                <w:color w:val="000000"/>
              </w:rPr>
              <w:t xml:space="preserve">ещения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Правительст</w:t>
            </w:r>
            <w:r>
              <w:rPr>
                <w:rFonts w:ascii="Times New Roman" w:hAnsi="Times New Roman" w:cs="Times New Roman"/>
                <w:color w:val="000000"/>
              </w:rPr>
              <w:t xml:space="preserve">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17.12.2010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1050 </w:t>
            </w:r>
            <w:r>
              <w:rPr>
                <w:rFonts w:ascii="Times New Roman" w:hAnsi="Times New Roman" w:cs="Times New Roman"/>
                <w:color w:val="000000"/>
              </w:rPr>
              <w:t xml:space="preserve">«О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комфортным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мунальными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Федерации»»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учету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распределен</w:t>
            </w:r>
            <w:r>
              <w:rPr>
                <w:rFonts w:ascii="Times New Roman" w:hAnsi="Times New Roman" w:cs="Times New Roman"/>
                <w:color w:val="000000"/>
              </w:rPr>
              <w:t xml:space="preserve">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площадью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человека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2036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Повышение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доступности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первичном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рынке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устойчивого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сокращения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создание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безопасных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</w:t>
            </w:r>
            <w:r>
              <w:rPr>
                <w:rFonts w:ascii="Times New Roman" w:hAnsi="Times New Roman" w:cs="Times New Roman"/>
                <w:color w:val="000000"/>
              </w:rPr>
              <w:t xml:space="preserve">ловий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999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99.99.9999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Квадратный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635,17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321,25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956,42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956,42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956,42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956,42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956,42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09.04.2019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217-</w:t>
            </w:r>
            <w:r>
              <w:rPr>
                <w:rFonts w:ascii="Times New Roman" w:hAnsi="Times New Roman" w:cs="Times New Roman"/>
                <w:color w:val="000000"/>
              </w:rPr>
              <w:t xml:space="preserve">па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региональной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адресной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«Переселение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крае»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2019 - </w:t>
            </w:r>
            <w:r>
              <w:rPr>
                <w:rFonts w:ascii="Times New Roman" w:hAnsi="Times New Roman" w:cs="Times New Roman"/>
                <w:color w:val="000000"/>
              </w:rPr>
              <w:t xml:space="preserve">2023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содержания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Устойчивое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сокращение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квадратных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расселенного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Тысяча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квадратных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Указ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Президента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04.02.2021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68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оценке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эффективности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высших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должностных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лиц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исполнительных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</w:t>
            </w:r>
            <w:r>
              <w:rPr>
                <w:rFonts w:ascii="Times New Roman" w:hAnsi="Times New Roman" w:cs="Times New Roman"/>
                <w:color w:val="000000"/>
              </w:rPr>
              <w:t xml:space="preserve">ации»</w:t>
            </w:r>
            <w:r>
              <w:rPr>
                <w:rFonts w:ascii="Times New Roman" w:hAnsi="Times New Roman" w:cs="Times New Roman"/>
                <w:color w:val="000000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09.04.2019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217-</w:t>
            </w:r>
            <w:r>
              <w:rPr>
                <w:rFonts w:ascii="Times New Roman" w:hAnsi="Times New Roman" w:cs="Times New Roman"/>
                <w:color w:val="000000"/>
              </w:rPr>
              <w:t xml:space="preserve">па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региональной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адресной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«Переселение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крае»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2019 - 2023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содержания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</w:t>
            </w:r>
            <w:r>
              <w:rPr>
                <w:rFonts w:ascii="Times New Roman" w:hAnsi="Times New Roman" w:cs="Times New Roman"/>
                <w:color w:val="000000"/>
              </w:rPr>
              <w:t xml:space="preserve">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Устойчивое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сокращение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Человек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09.04.2019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217-</w:t>
            </w:r>
            <w:r>
              <w:rPr>
                <w:rFonts w:ascii="Times New Roman" w:hAnsi="Times New Roman" w:cs="Times New Roman"/>
                <w:color w:val="000000"/>
              </w:rPr>
              <w:t xml:space="preserve">па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региональной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адресной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«Переселение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крае»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2019 - 2023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содержания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Устойчивое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сокращение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Тысяча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человек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Указ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Президента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04.02.2021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68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оценке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эффективности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высших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должностных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лиц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исполнительных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Федерации»</w:t>
            </w:r>
            <w:r>
              <w:rPr>
                <w:rFonts w:ascii="Times New Roman" w:hAnsi="Times New Roman" w:cs="Times New Roman"/>
                <w:color w:val="000000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</w:t>
            </w:r>
            <w:r>
              <w:rPr>
                <w:rFonts w:ascii="Times New Roman" w:hAnsi="Times New Roman" w:cs="Times New Roman"/>
                <w:color w:val="000000"/>
              </w:rPr>
              <w:t xml:space="preserve">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09.04.2019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217-</w:t>
            </w:r>
            <w:r>
              <w:rPr>
                <w:rFonts w:ascii="Times New Roman" w:hAnsi="Times New Roman" w:cs="Times New Roman"/>
                <w:color w:val="000000"/>
              </w:rPr>
              <w:t xml:space="preserve">па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региональной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адресной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«Переселение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крае»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2019 - 2023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годы»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содержания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Устойч</w:t>
            </w:r>
            <w:r>
              <w:rPr>
                <w:rFonts w:ascii="Times New Roman" w:hAnsi="Times New Roman" w:cs="Times New Roman"/>
                <w:color w:val="000000"/>
              </w:rPr>
              <w:t xml:space="preserve">ивое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сокращение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«Рациональное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расположенных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границах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999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99.99.9999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подготовленной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документацией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планировке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Гектар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231,68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015,03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015,03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закон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29.12.2004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190-</w:t>
            </w:r>
            <w:r>
              <w:rPr>
                <w:rFonts w:ascii="Times New Roman" w:hAnsi="Times New Roman" w:cs="Times New Roman"/>
                <w:color w:val="000000"/>
              </w:rPr>
              <w:t xml:space="preserve">ФЗ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«Градостроительный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кодекс»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процентов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сравнению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показателем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снесенных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незаконно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</w:t>
            </w:r>
            <w:r>
              <w:rPr>
                <w:rFonts w:ascii="Times New Roman" w:hAnsi="Times New Roman" w:cs="Times New Roman"/>
                <w:color w:val="000000"/>
              </w:rPr>
              <w:t xml:space="preserve">ановленных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закон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25.10.2001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136-</w:t>
            </w:r>
            <w:r>
              <w:rPr>
                <w:rFonts w:ascii="Times New Roman" w:hAnsi="Times New Roman" w:cs="Times New Roman"/>
                <w:color w:val="000000"/>
              </w:rPr>
              <w:t xml:space="preserve">ФЗ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«Земельный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кодекс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которых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проведены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инженерные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изыскания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предпроектные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проработки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</w:t>
            </w:r>
            <w:r>
              <w:rPr>
                <w:rFonts w:ascii="Times New Roman" w:hAnsi="Times New Roman" w:cs="Times New Roman"/>
                <w:color w:val="000000"/>
              </w:rPr>
              <w:t xml:space="preserve">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закон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29.12.2004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190-</w:t>
            </w:r>
            <w:r>
              <w:rPr>
                <w:rFonts w:ascii="Times New Roman" w:hAnsi="Times New Roman" w:cs="Times New Roman"/>
                <w:color w:val="000000"/>
              </w:rPr>
              <w:t xml:space="preserve">ФЗ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«Градостроительный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кодекс»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процентов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сравнению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</w:t>
            </w:r>
            <w:r>
              <w:rPr>
                <w:rFonts w:ascii="Times New Roman" w:hAnsi="Times New Roman" w:cs="Times New Roman"/>
                <w:color w:val="000000"/>
              </w:rPr>
              <w:t xml:space="preserve">елем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которых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проведена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реконструкция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капитальный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ремонт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закон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06.10.2003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131-</w:t>
            </w:r>
            <w:r>
              <w:rPr>
                <w:rFonts w:ascii="Times New Roman" w:hAnsi="Times New Roman" w:cs="Times New Roman"/>
                <w:color w:val="000000"/>
              </w:rPr>
              <w:t xml:space="preserve">ФЗ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принципах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организации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местног</w:t>
            </w:r>
            <w:r>
              <w:rPr>
                <w:rFonts w:ascii="Times New Roman" w:hAnsi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процентов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сравнению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показателем</w:t>
            </w:r>
            <w:r>
              <w:rPr>
                <w:rFonts w:ascii="Times New Roman" w:hAnsi="Times New Roman" w:cs="Times New Roman"/>
                <w:color w:val="000000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ввода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эксплуатацию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Тысяча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квадратных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505,58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382,98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582,98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782,98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982,98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182,98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382,98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31.12.2019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4566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регламента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предоставления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«Выдача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разрешения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внесение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изменений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разрешение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связи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необходимостью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продления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действия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разрешения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  <w:t xml:space="preserve">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процентов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сравнению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показателем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Объем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Тысяча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вадратных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677,40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Указ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Президента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04.02.2021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68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оценке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эффективности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высших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должностных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лиц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исполнительных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</w:t>
            </w:r>
            <w:r>
              <w:rPr>
                <w:rFonts w:ascii="Times New Roman" w:hAnsi="Times New Roman" w:cs="Times New Roman"/>
                <w:color w:val="000000"/>
              </w:rPr>
              <w:t xml:space="preserve">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процентов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сравнению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показателем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</w:t>
            </w:r>
            <w:r>
              <w:rPr>
                <w:rFonts w:ascii="Times New Roman" w:hAnsi="Times New Roman" w:cs="Times New Roman"/>
                <w:color w:val="000000"/>
              </w:rPr>
              <w:t xml:space="preserve">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«Улучшение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жителей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999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99.99.9999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электроснабжением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30.12.2019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945-</w:t>
            </w:r>
            <w:r>
              <w:rPr>
                <w:rFonts w:ascii="Times New Roman" w:hAnsi="Times New Roman" w:cs="Times New Roman"/>
                <w:color w:val="000000"/>
              </w:rPr>
              <w:t xml:space="preserve">па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качественны</w:t>
            </w:r>
            <w:r>
              <w:rPr>
                <w:rFonts w:ascii="Times New Roman" w:hAnsi="Times New Roman" w:cs="Times New Roman"/>
                <w:color w:val="000000"/>
              </w:rPr>
              <w:t xml:space="preserve">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хозяйства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вопросам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топливно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энергетического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комплекса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площадью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человека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2036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</w:t>
            </w:r>
            <w:r>
              <w:rPr>
                <w:rFonts w:ascii="Times New Roman" w:hAnsi="Times New Roman" w:cs="Times New Roman"/>
                <w:color w:val="000000"/>
              </w:rPr>
              <w:t xml:space="preserve">еченных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водоотведением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</w:rPr>
              <w:t xml:space="preserve">водоснабжением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детей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30.12.2019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945-</w:t>
            </w:r>
            <w:r>
              <w:rPr>
                <w:rFonts w:ascii="Times New Roman" w:hAnsi="Times New Roman" w:cs="Times New Roman"/>
                <w:color w:val="000000"/>
              </w:rPr>
              <w:t xml:space="preserve">па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</w:t>
            </w:r>
            <w:r>
              <w:rPr>
                <w:rFonts w:ascii="Times New Roman" w:hAnsi="Times New Roman" w:cs="Times New Roman"/>
                <w:color w:val="000000"/>
              </w:rPr>
              <w:t xml:space="preserve">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качественными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хозяйства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вопросам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топливно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энергетического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комплекса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</w:t>
            </w:r>
            <w:r>
              <w:rPr>
                <w:rFonts w:ascii="Times New Roman" w:hAnsi="Times New Roman" w:cs="Times New Roman"/>
                <w:color w:val="000000"/>
              </w:rPr>
              <w:t xml:space="preserve">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площадью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человека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2036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подъездными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автомобильными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дорогами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проездами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детей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27.12.2019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919-</w:t>
            </w:r>
            <w:r>
              <w:rPr>
                <w:rFonts w:ascii="Times New Roman" w:hAnsi="Times New Roman" w:cs="Times New Roman"/>
                <w:color w:val="000000"/>
              </w:rPr>
              <w:t xml:space="preserve">па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транспортного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комплекса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  <w:t xml:space="preserve">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</w:t>
            </w:r>
            <w:r>
              <w:rPr>
                <w:rFonts w:ascii="Times New Roman" w:hAnsi="Times New Roman" w:cs="Times New Roman"/>
                <w:color w:val="000000"/>
              </w:rPr>
              <w:t xml:space="preserve">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дорог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площадью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человека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</w:rPr>
              <w:t xml:space="preserve"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2036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выданных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разрешений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единиц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</w:rPr>
              <w:t xml:space="preserve"> 31.12.2019  </w:t>
            </w: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4566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утверждении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регламента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предоставления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«Выдача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разрешения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внесение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изменений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разрешение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связи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необходимостью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продления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действия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разрешения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  <w:t xml:space="preserve"> 2030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менее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процентов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сравнению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показателем</w:t>
            </w:r>
            <w:r>
              <w:rPr>
                <w:rFonts w:ascii="Times New Roman" w:hAnsi="Times New Roman" w:cs="Times New Roman"/>
                <w:color w:val="00000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-596" w:type="dxa"/>
        <w:tblLayout w:type="fixed"/>
        <w:tblLook w:val="0000" w:firstRow="0" w:lastRow="0" w:firstColumn="0" w:lastColumn="0" w:noHBand="0" w:noVBand="0"/>
      </w:tblPr>
      <w:tblGrid>
        <w:gridCol w:w="669"/>
        <w:gridCol w:w="4105"/>
        <w:gridCol w:w="2435"/>
        <w:gridCol w:w="3026"/>
        <w:gridCol w:w="5102"/>
      </w:tblGrid>
      <w:tr>
        <w:tblPrEx/>
        <w:trPr>
          <w:trHeight w:val="287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47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элемента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Владивостоке»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семьям»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комфортным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Федерации»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позволит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ризнанным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нуждающимися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свидетельство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долевом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предусматривает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качестве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эскроу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комфортным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долевом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позволит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нуждающимися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Владивостоке»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«Переселение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«Переселение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входящий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«Федеральный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устойчивого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фонда»»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Пейхвассер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Григорий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Александрович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(2024 - 2029)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инженерных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устойчивого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квадратных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ликвидация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квадратных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устойчивого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квадратных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ищный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изымаемые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будут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изъятием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квадратных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сносу»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ликвидация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квадратных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инфраструктурой»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топливно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энергетического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инфраструктурой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томобильными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проездами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проездами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инфраструктурой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позволит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снизить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затраты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водоотведением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водоснабжением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электроснабжением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землеустроительной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землеустроительной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устойчивое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кварталов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микрорайонов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расположены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ландшафтно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концепций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эскизных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незаконно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снесенных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незаконно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инженерных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изыскан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предпроектных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проработок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санитарно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гигиенических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перспективы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нерные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изыскания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предпроектные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проработки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уатацию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4.2.1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эксплуатационных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потребительских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землеустроительной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инженерные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изыскания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предпроектные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проработки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4.3.2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«Дирекция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застройщика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инженерные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изыскания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предпроектные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проработки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4.3.3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ствуют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перспективных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снесенных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незаконно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«Градостроительное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градостроительных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способствуют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перспективных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4.4.1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61" w:type="dxa"/>
            <w:textDirection w:val="lrTb"/>
            <w:noWrap w:val="false"/>
          </w:tcPr>
          <w:p>
            <w:pPr>
              <w:ind w:left="0" w:right="0" w:firstLine="0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включающий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расселенной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-561" w:type="dxa"/>
        <w:tblLayout w:type="fixed"/>
        <w:tblLook w:val="0000" w:firstRow="0" w:lastRow="0" w:firstColumn="0" w:lastColumn="0" w:noHBand="0" w:noVBand="0"/>
      </w:tblPr>
      <w:tblGrid>
        <w:gridCol w:w="606"/>
        <w:gridCol w:w="2273"/>
        <w:gridCol w:w="1495"/>
        <w:gridCol w:w="805"/>
        <w:gridCol w:w="1261"/>
        <w:gridCol w:w="1171"/>
        <w:gridCol w:w="1418"/>
        <w:gridCol w:w="1276"/>
        <w:gridCol w:w="1134"/>
        <w:gridCol w:w="1275"/>
        <w:gridCol w:w="1276"/>
        <w:gridCol w:w="1418"/>
      </w:tblGrid>
      <w:tr>
        <w:tblPrEx/>
        <w:trPr>
          <w:trHeight w:val="28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1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3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1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</w:rPr>
              <w:t xml:space="preserve">п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структурного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элемента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 xml:space="preserve">результата</w:t>
            </w:r>
            <w:r>
              <w:rPr>
                <w:rFonts w:ascii="Times New Roman" w:hAnsi="Times New Roman" w:cs="Times New Roman"/>
                <w:color w:val="000000"/>
              </w:rPr>
              <w:t xml:space="preserve">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Источник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финансового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классификации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</w:t>
            </w:r>
            <w:r>
              <w:rPr>
                <w:rFonts w:ascii="Times New Roman" w:hAnsi="Times New Roman" w:cs="Times New Roman"/>
                <w:color w:val="000000"/>
              </w:rPr>
              <w:t xml:space="preserve">ъем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финансового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годам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рублей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ГРБС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ЦСР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«Архитектура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243,96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443,06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720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658,21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709,15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182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260,79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182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260,79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575,96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885,12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889,90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617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585,12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789,90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442,15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811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701,03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875,62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020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084,98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596,10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875,62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394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306,75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143,54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778,23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051,99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322,37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342,46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880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830,25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880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830,25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043,01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732,66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972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877,22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931,59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312,72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239,45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995,71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723,54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221,89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010,94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447,62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447,62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847,32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766,34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981,61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512,21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Подпрограмма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</w:t>
            </w:r>
            <w:r>
              <w:rPr>
                <w:rFonts w:ascii="Times New Roman" w:hAnsi="Times New Roman" w:cs="Times New Roman"/>
                <w:color w:val="000000"/>
              </w:rPr>
              <w:t xml:space="preserve">адивостоке»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832,61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076,00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192,10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056,69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120,54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120,54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398,48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585,12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789,90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442,15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596,10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875,62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816,33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выплат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</w:t>
            </w:r>
            <w:r>
              <w:rPr>
                <w:rFonts w:ascii="Times New Roman" w:hAnsi="Times New Roman" w:cs="Times New Roman"/>
                <w:color w:val="000000"/>
              </w:rPr>
              <w:t xml:space="preserve">обретение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индивидуального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молодым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семьям»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832,61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076,00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192,10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056,69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120,54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120,54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398,48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585,12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789,90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442,15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596,10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875,62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816,33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</w:t>
            </w:r>
            <w:r>
              <w:rPr>
                <w:rFonts w:ascii="Times New Roman" w:hAnsi="Times New Roman" w:cs="Times New Roman"/>
                <w:color w:val="000000"/>
              </w:rPr>
              <w:t xml:space="preserve">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Признание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участниками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проекта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«Содействие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субъектам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полномочий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оказанию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поддержки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оплате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комфортным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</w:t>
            </w:r>
            <w:r>
              <w:rPr>
                <w:rFonts w:ascii="Times New Roman" w:hAnsi="Times New Roman" w:cs="Times New Roman"/>
                <w:color w:val="000000"/>
              </w:rPr>
              <w:t xml:space="preserve">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06402R4970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06402L4970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06402L4970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1.1.2.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выплат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приобретение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индивидуального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уплату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цены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договора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долевом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строительстве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который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предусматривает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качестве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долевог</w:t>
            </w:r>
            <w:r>
              <w:rPr>
                <w:rFonts w:ascii="Times New Roman" w:hAnsi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путем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внесения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соответствующих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счет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эскроу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молодым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семьям</w:t>
            </w:r>
            <w:r>
              <w:rPr>
                <w:rFonts w:ascii="Times New Roman" w:hAnsi="Times New Roman" w:cs="Times New Roman"/>
                <w:color w:val="00000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участникам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молодых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проекта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«Содействие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субъектам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реализации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полномочий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</w:t>
            </w:r>
            <w:r>
              <w:rPr>
                <w:rFonts w:ascii="Times New Roman" w:hAnsi="Times New Roman" w:cs="Times New Roman"/>
                <w:color w:val="000000"/>
              </w:rPr>
              <w:t xml:space="preserve">азанию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поддержки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оплате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комфортным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жильем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832</w:t>
            </w:r>
            <w:r>
              <w:rPr>
                <w:rFonts w:ascii="Times New Roman" w:hAnsi="Times New Roman" w:cs="Times New Roman"/>
                <w:color w:val="000000"/>
              </w:rPr>
              <w:t xml:space="preserve">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076,00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192,</w:t>
            </w:r>
            <w:r>
              <w:rPr>
                <w:rFonts w:ascii="Times New Roman" w:hAnsi="Times New Roman" w:cs="Times New Roman"/>
                <w:color w:val="000000"/>
              </w:rPr>
              <w:t xml:space="preserve">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056</w:t>
            </w:r>
            <w:r>
              <w:rPr>
                <w:rFonts w:ascii="Times New Roman" w:hAnsi="Times New Roman" w:cs="Times New Roman"/>
                <w:color w:val="000000"/>
              </w:rPr>
              <w:t xml:space="preserve">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120,</w:t>
            </w:r>
            <w:r>
              <w:rPr>
                <w:rFonts w:ascii="Times New Roman" w:hAnsi="Times New Roman" w:cs="Times New Roman"/>
                <w:color w:val="000000"/>
              </w:rPr>
              <w:t xml:space="preserve">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120,</w:t>
            </w:r>
            <w:r>
              <w:rPr>
                <w:rFonts w:ascii="Times New Roman" w:hAnsi="Times New Roman" w:cs="Times New Roman"/>
                <w:color w:val="000000"/>
              </w:rPr>
              <w:t xml:space="preserve">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398,</w:t>
            </w:r>
            <w:r>
              <w:rPr>
                <w:rFonts w:ascii="Times New Roman" w:hAnsi="Times New Roman" w:cs="Times New Roman"/>
                <w:color w:val="000000"/>
              </w:rPr>
              <w:t xml:space="preserve">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06402L4970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585,12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789,90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691,48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442,15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06402L4970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596,10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875,62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816,33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06402L4970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Подпрограмма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«Переселение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</w:t>
            </w:r>
            <w:r>
              <w:rPr>
                <w:rFonts w:ascii="Times New Roman" w:hAnsi="Times New Roman" w:cs="Times New Roman"/>
                <w:color w:val="000000"/>
              </w:rPr>
              <w:t xml:space="preserve">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769,73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459,19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976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863,23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459,19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976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863,23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проект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«Переселение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входящий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состав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регионального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проекта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проект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устойчивого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сокращения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непригодного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фонда»»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459,19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459,19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459,19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459,19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изыскательские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инженерных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сетей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целях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признан</w:t>
            </w:r>
            <w:r>
              <w:rPr>
                <w:rFonts w:ascii="Times New Roman" w:hAnsi="Times New Roman" w:cs="Times New Roman"/>
                <w:color w:val="000000"/>
              </w:rPr>
              <w:t xml:space="preserve">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сносу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061F367484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</w:t>
            </w:r>
            <w:r>
              <w:rPr>
                <w:rFonts w:ascii="Times New Roman" w:hAnsi="Times New Roman" w:cs="Times New Roman"/>
                <w:color w:val="000000"/>
              </w:rPr>
              <w:t xml:space="preserve">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061F367484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2.1.2.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</w:t>
            </w:r>
            <w:r>
              <w:rPr>
                <w:rFonts w:ascii="Times New Roman" w:hAnsi="Times New Roman" w:cs="Times New Roman"/>
                <w:color w:val="000000"/>
              </w:rPr>
              <w:t xml:space="preserve">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сносу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счет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краевого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061F367484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061F341300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459,19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459,19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605,82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2.1.3.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благоустроенных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сносу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счет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</w:rPr>
              <w:t xml:space="preserve">редств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краевого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061F343000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2.1.4.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Выплата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лицам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чьей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находятся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входящи</w:t>
            </w:r>
            <w:r>
              <w:rPr>
                <w:rFonts w:ascii="Times New Roman" w:hAnsi="Times New Roman" w:cs="Times New Roman"/>
                <w:color w:val="000000"/>
              </w:rPr>
              <w:t xml:space="preserve">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фонд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возмещения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изымаемые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помещения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соответствии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статьей</w:t>
            </w:r>
            <w:r>
              <w:rPr>
                <w:rFonts w:ascii="Times New Roman" w:hAnsi="Times New Roman" w:cs="Times New Roman"/>
                <w:color w:val="000000"/>
              </w:rPr>
              <w:t xml:space="preserve"> 32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кодекса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счет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средств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публично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правовой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компании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«Фонд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территорий»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краевого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</w:t>
            </w:r>
            <w:r>
              <w:rPr>
                <w:rFonts w:ascii="Times New Roman" w:hAnsi="Times New Roman" w:cs="Times New Roman"/>
                <w:color w:val="000000"/>
              </w:rPr>
              <w:t xml:space="preserve">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061F323900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проектно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изыскательские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работы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сносу»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</w:t>
            </w:r>
            <w:r>
              <w:rPr>
                <w:rFonts w:ascii="Times New Roman" w:hAnsi="Times New Roman" w:cs="Times New Roman"/>
                <w:color w:val="000000"/>
              </w:rPr>
              <w:t xml:space="preserve">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2.2.1.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проектно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изыскательские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работы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</w:t>
            </w:r>
            <w:r>
              <w:rPr>
                <w:rFonts w:ascii="Times New Roman" w:hAnsi="Times New Roman" w:cs="Times New Roman"/>
                <w:color w:val="000000"/>
              </w:rPr>
              <w:t xml:space="preserve">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переселения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многоквартирных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домов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признанных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аварийными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подлежащими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сносу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06409S2850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06409S2850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Подпрограмма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«Стимулирование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958,52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783,75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517,91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</w:t>
            </w:r>
            <w:r>
              <w:rPr>
                <w:rFonts w:ascii="Times New Roman" w:hAnsi="Times New Roman" w:cs="Times New Roman"/>
                <w:color w:val="000000"/>
              </w:rPr>
              <w:t xml:space="preserve">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958,</w:t>
            </w:r>
            <w:r>
              <w:rPr>
                <w:rFonts w:ascii="Times New Roman" w:hAnsi="Times New Roman" w:cs="Times New Roman"/>
                <w:color w:val="000000"/>
              </w:rPr>
              <w:t xml:space="preserve">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293,3</w:t>
            </w: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</w:t>
            </w:r>
            <w:r>
              <w:rPr>
                <w:rFonts w:ascii="Times New Roman" w:hAnsi="Times New Roman" w:cs="Times New Roman"/>
                <w:color w:val="000000"/>
              </w:rPr>
              <w:t xml:space="preserve">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027,49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675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324,90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415,23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471,12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211,25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076,34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291,61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822,21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391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бесплатной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основе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</w:t>
            </w:r>
            <w:r>
              <w:rPr>
                <w:rFonts w:ascii="Times New Roman" w:hAnsi="Times New Roman" w:cs="Times New Roman"/>
                <w:color w:val="000000"/>
              </w:rPr>
              <w:t xml:space="preserve">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дорожной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инфраструктурой»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958,52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783,75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517,91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958,52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293,33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027,49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076,34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291,61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822,21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391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518,96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675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324,90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415,23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471,12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211,25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дорожной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инфраструктурой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предоставленных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бесплатной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основе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индивидуальное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</w:t>
            </w:r>
            <w:r>
              <w:rPr>
                <w:rFonts w:ascii="Times New Roman" w:hAnsi="Times New Roman" w:cs="Times New Roman"/>
                <w:color w:val="000000"/>
              </w:rPr>
              <w:t xml:space="preserve">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0640541140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297,28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3.1.2.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коммунальной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инфраструктурой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участков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предостав</w:t>
            </w:r>
            <w:r>
              <w:rPr>
                <w:rFonts w:ascii="Times New Roman" w:hAnsi="Times New Roman" w:cs="Times New Roman"/>
                <w:color w:val="000000"/>
              </w:rPr>
              <w:t xml:space="preserve">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бесплатной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основе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индивидуальное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жилищное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401,24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706,84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783,75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208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220,63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06405S2100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401,24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706,84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293,33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730,21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0640529043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076,34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291,61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367,95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0640541140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822,21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151,01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0640541140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675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324,90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415,23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471,12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211,25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Подпрограмма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сфере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архитектурной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землеустроительной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087,14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516,18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682,36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323,66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140,25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140,25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540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889,84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842,8</w:t>
            </w: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477,55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477,55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</w:t>
            </w:r>
            <w:r>
              <w:rPr>
                <w:rFonts w:ascii="Times New Roman" w:hAnsi="Times New Roman" w:cs="Times New Roman"/>
                <w:color w:val="000000"/>
              </w:rPr>
              <w:t xml:space="preserve">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944,28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545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781,49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682,36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323,66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140,25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140,25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012,29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732,66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972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877,22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931,59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312,72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239,45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211,62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904,27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750,77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010,94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447,62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447,62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772,84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архитектурной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землеустроительной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066,99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558,89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484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667,86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066,99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558,89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484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667,86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066,99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558,89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286,95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737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направленной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подготовку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документации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планировке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0640315010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сноса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незаконно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</w:t>
            </w:r>
            <w:r>
              <w:rPr>
                <w:rFonts w:ascii="Times New Roman" w:hAnsi="Times New Roman" w:cs="Times New Roman"/>
                <w:color w:val="000000"/>
              </w:rPr>
              <w:t xml:space="preserve">ановленных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0640314100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380,91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</w:t>
            </w:r>
            <w:r>
              <w:rPr>
                <w:rFonts w:ascii="Times New Roman" w:hAnsi="Times New Roman" w:cs="Times New Roman"/>
                <w:color w:val="000000"/>
              </w:rPr>
              <w:t xml:space="preserve">оведение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инженерных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изысканий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предпроектных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проработок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066,99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558,89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286,95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0640314200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661,07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066,99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558,89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286,95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комплексному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развитию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0640315040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«Проектирование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реконструкция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капита</w:t>
            </w:r>
            <w:r>
              <w:rPr>
                <w:rFonts w:ascii="Times New Roman" w:hAnsi="Times New Roman" w:cs="Times New Roman"/>
                <w:color w:val="000000"/>
              </w:rPr>
              <w:t xml:space="preserve">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093,10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628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337,34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304,64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477,55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122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950,24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602,65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862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427,09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4.2.1.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реконструкция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капитальный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собственности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093,10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628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337,34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304,64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06406L505</w:t>
            </w:r>
            <w:r>
              <w:rPr>
                <w:rFonts w:ascii="Times New Roman" w:hAnsi="Times New Roman" w:cs="Times New Roman"/>
                <w:color w:val="000000"/>
              </w:rPr>
              <w:t xml:space="preserve">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06406L505</w:t>
            </w:r>
            <w:r>
              <w:rPr>
                <w:rFonts w:ascii="Times New Roman" w:hAnsi="Times New Roman" w:cs="Times New Roman"/>
                <w:color w:val="000000"/>
              </w:rPr>
              <w:t xml:space="preserve">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842,8</w:t>
            </w: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634,69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477,55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06406L505</w:t>
            </w:r>
            <w:r>
              <w:rPr>
                <w:rFonts w:ascii="Times New Roman" w:hAnsi="Times New Roman" w:cs="Times New Roman"/>
                <w:color w:val="000000"/>
              </w:rPr>
              <w:t xml:space="preserve">Ц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193,36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118,53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074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186,09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0640641000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171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616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484,12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«Выполнение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казенными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учреждениями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части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землеустроительной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829,64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375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269,77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252,29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764,77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904,95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904,95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926,37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829,64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375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269,77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162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252,29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764,77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904,95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904,95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926,37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351,75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877,22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931,59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312,72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894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858,54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477,89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032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392,55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320,70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452,05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212,32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212,32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067,83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архитектуры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853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961,40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711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481,01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506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848,40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445,99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445,99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865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025,55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</w:t>
            </w:r>
            <w:r>
              <w:rPr>
                <w:rFonts w:ascii="Times New Roman" w:hAnsi="Times New Roman" w:cs="Times New Roman"/>
                <w:color w:val="000000"/>
              </w:rPr>
              <w:t xml:space="preserve">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853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961,40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711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481,01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899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842,76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506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848,40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445,99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445,99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865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025,55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4.3.2.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казенного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учреждения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«Дирекция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капитального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516,49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911,54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477,94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603,65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031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031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028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</w:t>
            </w:r>
            <w:r>
              <w:rPr>
                <w:rFonts w:ascii="Times New Roman" w:hAnsi="Times New Roman" w:cs="Times New Roman"/>
                <w:color w:val="000000"/>
              </w:rPr>
              <w:t xml:space="preserve">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516,49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911,54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477,94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603,65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031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031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028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042,28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4.3.3.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градостроительс</w:t>
            </w:r>
            <w:r>
              <w:rPr>
                <w:rFonts w:ascii="Times New Roman" w:hAnsi="Times New Roman" w:cs="Times New Roman"/>
                <w:color w:val="000000"/>
              </w:rPr>
              <w:t xml:space="preserve">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041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563,07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657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243,82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725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590,21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487,10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370,26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746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370,26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087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258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624,72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951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463,07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557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243,82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675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590,21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291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487,10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370,26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370,26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086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524,72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функций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казенного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учреждения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«Градостроительное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планирование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территорий»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788,68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633,40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341,38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825,62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322,37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322,37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233,82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788,68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685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633,40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492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341,38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096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825,62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322,37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322,37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636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233,82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4.4.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«Обеспечение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</w:t>
            </w:r>
            <w:r>
              <w:rPr>
                <w:rFonts w:ascii="Times New Roman" w:hAnsi="Times New Roman" w:cs="Times New Roman"/>
                <w:color w:val="000000"/>
              </w:rPr>
              <w:t xml:space="preserve">еждения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оказанию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</w:rPr>
              <w:t xml:space="preserve">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учреждения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оказанию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color w:val="000000"/>
              </w:rPr>
              <w:t xml:space="preserve">»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363,08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990,97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363,08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990,97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4.4.1.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казенных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учреждений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исключен</w:t>
            </w:r>
            <w:r>
              <w:rPr>
                <w:rFonts w:ascii="Times New Roman" w:hAnsi="Times New Roman" w:cs="Times New Roman"/>
                <w:color w:val="000000"/>
              </w:rPr>
              <w:t xml:space="preserve">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учреждений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благоустройства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числе</w:t>
            </w:r>
            <w:r>
              <w:rPr>
                <w:rFonts w:ascii="Times New Roman" w:hAnsi="Times New Roman" w:cs="Times New Roman"/>
                <w:color w:val="000000"/>
              </w:rPr>
              <w:t xml:space="preserve">: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363,08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990,97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федеральный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Владивосток</w:t>
            </w:r>
            <w:r>
              <w:rPr>
                <w:rFonts w:ascii="Times New Roman" w:hAnsi="Times New Roman" w:cs="Times New Roman"/>
                <w:color w:val="000000"/>
              </w:rPr>
              <w:t xml:space="preserve">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339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783,49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768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248,00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810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363,08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756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798,20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127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431</w:t>
            </w:r>
            <w:r>
              <w:rPr>
                <w:rFonts w:ascii="Times New Roman" w:hAnsi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990,97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внебюджетные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источники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-473" w:type="dxa"/>
        <w:tblLayout w:type="fixed"/>
        <w:tblLook w:val="0000" w:firstRow="0" w:lastRow="0" w:firstColumn="0" w:lastColumn="0" w:noHBand="0" w:noVBand="0"/>
      </w:tblPr>
      <w:tblGrid>
        <w:gridCol w:w="988"/>
        <w:gridCol w:w="972"/>
        <w:gridCol w:w="990"/>
        <w:gridCol w:w="1091"/>
        <w:gridCol w:w="998"/>
        <w:gridCol w:w="962"/>
        <w:gridCol w:w="1006"/>
        <w:gridCol w:w="990"/>
        <w:gridCol w:w="1255"/>
        <w:gridCol w:w="1273"/>
        <w:gridCol w:w="1658"/>
        <w:gridCol w:w="1110"/>
        <w:gridCol w:w="615"/>
        <w:gridCol w:w="567"/>
        <w:gridCol w:w="567"/>
      </w:tblGrid>
      <w:tr>
        <w:tblPrEx/>
        <w:trPr>
          <w:trHeight w:val="287"/>
        </w:trPr>
        <w:tc>
          <w:tcPr>
            <w:gridSpan w:val="1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стимулирующих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налоговых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льготах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30"/>
        </w:trPr>
        <w:tc>
          <w:tcPr>
            <w:gridSpan w:val="1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55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Нормативный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устанавливающий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целесообразности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оказывает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Результативность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налогоплательщиков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пользующихся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10%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востребованность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налогоплательщиков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льгота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положительные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внешние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134" w:right="850" w:bottom="567" w:left="1417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sopova</cp:lastModifiedBy>
  <cp:revision>5</cp:revision>
  <dcterms:created xsi:type="dcterms:W3CDTF">2025-10-22T06:58:00Z</dcterms:created>
  <dcterms:modified xsi:type="dcterms:W3CDTF">2025-10-28T04:10:26Z</dcterms:modified>
</cp:coreProperties>
</file>